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3B159A" w:rsidRPr="003B159A">
        <w:rPr>
          <w:b/>
          <w:i/>
        </w:rPr>
        <w:t xml:space="preserve">Potápěčské práce na VD </w:t>
      </w:r>
      <w:r w:rsidR="00D639C6" w:rsidRPr="003B159A">
        <w:rPr>
          <w:b/>
          <w:i/>
        </w:rPr>
        <w:t>Doksany – rok</w:t>
      </w:r>
      <w:r w:rsidR="003B159A" w:rsidRPr="003B159A">
        <w:rPr>
          <w:b/>
          <w:i/>
        </w:rPr>
        <w:t xml:space="preserve"> 2022 (levé jezové pole)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639C6">
        <w:t>3</w:t>
      </w:r>
      <w:r w:rsidR="00D00E90" w:rsidRPr="00D00E90">
        <w:t xml:space="preserve"> </w:t>
      </w:r>
      <w:r w:rsidR="00D639C6">
        <w:t>01</w:t>
      </w:r>
      <w:r w:rsidR="00AB747E">
        <w:t xml:space="preserve"> 2</w:t>
      </w:r>
      <w:r w:rsidR="00D639C6">
        <w:t>0</w:t>
      </w:r>
      <w:r w:rsidR="00AB747E">
        <w:t xml:space="preserve"> </w:t>
      </w:r>
      <w:r w:rsidR="00D639C6">
        <w:t>044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Jedná se o potápěčské práce realizované na VD Doksany v roce 2022 v souvislosti s plánovanou údržbou a provozní prohlídkou levé jezové klapky dle programu TBD. 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Konkrétně se jedná o provedení následujících prací: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instalaci horního provizorního hrazení levého jezového pole (odstranění naplaveného materiálu z prostoru jezového prahu a jeho bezprostředního okolí, vyčištění vodorovné drážky pro osazení hradel a očištění svislých drážek na pilířích od nečistot a koroze).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Montáž horního provizorního hrazení levého jezového pole.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Kontrola stavebních a strojně – technologických částí vodního díla.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bude zaměřena zejména na stav stavebních konstrukcí VD – jezového prahu, jezových pilířů, přívodního a odpadního kanálu MVE, konstrukce rybího přechodu a dále technologických prvků vodního díla, např. uložení a stavu jezových klapek, stavu těsnění jezových klapek, stavu hrubých česlí na vtoku do MVE, stavu hradících profilů provozních uzávěrů a provizorního hrazení. Součástí kontroly je též prohlídka stavu koryta v nadjezí VD z hlediska objemu sedimentu v jezové zdrži. Rozsah prací a cena díla budou odvislé od nutnosti provedení prací v bodu č. 1 - Příprava pracoviště, které bude prověřeno v nezbytném časovém předstihu před zahájením prací.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Předpokládaný časový harmonogram prací: 1. den – příprava pracoviště + kontrola objektů VD, 2.den - montáž horního provizorního hrazení.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Na základě technické zprávy z potápěčských pracích, je nutné opravit poruchy v betonovém dně v prostoru před záporníkem hradítek pravého jezového pole. Nutná je také oprava svislé pracovní spáry na výtoku z MVE dělícího pilíře vyplněním sanační hmotou.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následujících důvodů se časový harmonogram prodlužuje o jeden den.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den – příprava pracoviště + kontrola objektů VD.</w:t>
      </w:r>
    </w:p>
    <w:p w:rsidR="00D639C6" w:rsidRPr="00D639C6" w:rsidRDefault="00D639C6" w:rsidP="00D639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den – montáž horního provizorního hrazení.</w:t>
      </w:r>
    </w:p>
    <w:p w:rsidR="00D267BF" w:rsidRDefault="00D639C6" w:rsidP="00D639C6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D639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den – oprava dna a spárování.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639C6">
        <w:rPr>
          <w:rFonts w:asciiTheme="minorHAnsi" w:hAnsiTheme="minorHAnsi" w:cstheme="minorHAnsi"/>
          <w:sz w:val="22"/>
          <w:szCs w:val="22"/>
        </w:rPr>
        <w:t>4</w:t>
      </w:r>
      <w:r w:rsidR="00BF2598" w:rsidRPr="00BF2598">
        <w:rPr>
          <w:rFonts w:asciiTheme="minorHAnsi" w:hAnsiTheme="minorHAnsi" w:cstheme="minorHAnsi"/>
          <w:sz w:val="22"/>
          <w:szCs w:val="22"/>
        </w:rPr>
        <w:t>–</w:t>
      </w:r>
      <w:r w:rsidR="00D639C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D639C6" w:rsidRPr="00D639C6">
        <w:rPr>
          <w:rFonts w:asciiTheme="minorHAnsi" w:hAnsiTheme="minorHAnsi" w:cstheme="minorHAnsi"/>
          <w:sz w:val="22"/>
          <w:szCs w:val="22"/>
        </w:rPr>
        <w:t>Jez Doksany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639C6" w:rsidRDefault="00D639C6" w:rsidP="00D267BF">
      <w:pPr>
        <w:pStyle w:val="Bezmezer"/>
      </w:pPr>
      <w:r>
        <w:t>Situace.pdf</w:t>
      </w:r>
    </w:p>
    <w:p w:rsidR="00D639C6" w:rsidRPr="00D639C6" w:rsidRDefault="00D639C6" w:rsidP="00D639C6">
      <w:pPr>
        <w:pStyle w:val="Bezmezer"/>
      </w:pPr>
      <w:r w:rsidRPr="00D639C6">
        <w:t>Situace</w:t>
      </w:r>
      <w:r>
        <w:t>_</w:t>
      </w:r>
      <w:r w:rsidRPr="00D639C6">
        <w:t xml:space="preserve"> </w:t>
      </w:r>
      <w:r>
        <w:t>VD</w:t>
      </w:r>
      <w:r w:rsidRPr="00D639C6">
        <w:t>.pdf</w:t>
      </w:r>
    </w:p>
    <w:p w:rsidR="00D639C6" w:rsidRPr="00D639C6" w:rsidRDefault="00D639C6" w:rsidP="00D639C6">
      <w:pPr>
        <w:pStyle w:val="Bezmezer"/>
      </w:pPr>
      <w:r>
        <w:t>Řez VD Doksany</w:t>
      </w:r>
      <w:r w:rsidRPr="00D639C6">
        <w:t>.pdf</w:t>
      </w:r>
    </w:p>
    <w:p w:rsidR="00E83C0E" w:rsidRDefault="00D639C6" w:rsidP="00D267BF">
      <w:pPr>
        <w:pStyle w:val="Bezmezer"/>
      </w:pPr>
      <w:r>
        <w:t>Fotodokumentace</w:t>
      </w:r>
      <w:r w:rsidR="00E83C0E">
        <w:t>.pdf</w:t>
      </w:r>
    </w:p>
    <w:p w:rsidR="00D06303" w:rsidRPr="00D639C6" w:rsidRDefault="00D639C6" w:rsidP="00D639C6">
      <w:pPr>
        <w:pStyle w:val="Bezmezer"/>
      </w:pPr>
      <w:r>
        <w:t>TZ VD Doksany.pdf</w:t>
      </w:r>
    </w:p>
    <w:sectPr w:rsidR="00D06303" w:rsidRPr="00D639C6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1B0" w:rsidRDefault="002321B0" w:rsidP="00695053">
      <w:pPr>
        <w:spacing w:after="0" w:line="240" w:lineRule="auto"/>
      </w:pPr>
      <w:r>
        <w:separator/>
      </w:r>
    </w:p>
  </w:endnote>
  <w:endnote w:type="continuationSeparator" w:id="0">
    <w:p w:rsidR="002321B0" w:rsidRDefault="002321B0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1B0" w:rsidRDefault="002321B0" w:rsidP="00695053">
      <w:pPr>
        <w:spacing w:after="0" w:line="240" w:lineRule="auto"/>
      </w:pPr>
      <w:r>
        <w:separator/>
      </w:r>
    </w:p>
  </w:footnote>
  <w:footnote w:type="continuationSeparator" w:id="0">
    <w:p w:rsidR="002321B0" w:rsidRDefault="002321B0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321B0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B159A"/>
    <w:rsid w:val="003D3AE0"/>
    <w:rsid w:val="003F0F8A"/>
    <w:rsid w:val="00445F7C"/>
    <w:rsid w:val="004740E8"/>
    <w:rsid w:val="004B2F8A"/>
    <w:rsid w:val="005323CF"/>
    <w:rsid w:val="00534785"/>
    <w:rsid w:val="00567C80"/>
    <w:rsid w:val="00580D68"/>
    <w:rsid w:val="005A77F1"/>
    <w:rsid w:val="005E376E"/>
    <w:rsid w:val="005F76E9"/>
    <w:rsid w:val="00605A6B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BF2598"/>
    <w:rsid w:val="00BF5786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C0E"/>
    <w:rsid w:val="00E83EB2"/>
    <w:rsid w:val="00EB4D1A"/>
    <w:rsid w:val="00EE60D7"/>
    <w:rsid w:val="00F2208B"/>
    <w:rsid w:val="00F24D29"/>
    <w:rsid w:val="00F27DE0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4</cp:revision>
  <cp:lastPrinted>2016-04-05T04:45:00Z</cp:lastPrinted>
  <dcterms:created xsi:type="dcterms:W3CDTF">2021-11-03T12:35:00Z</dcterms:created>
  <dcterms:modified xsi:type="dcterms:W3CDTF">2021-11-10T11:50:00Z</dcterms:modified>
</cp:coreProperties>
</file>